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6F0" w14:textId="58D8ECB4" w:rsidR="00456887" w:rsidRPr="008A1047" w:rsidRDefault="00456887" w:rsidP="00456887">
      <w:pPr>
        <w:spacing w:after="0"/>
        <w:rPr>
          <w:rFonts w:cstheme="minorHAnsi"/>
          <w:b/>
        </w:rPr>
      </w:pPr>
      <w:r w:rsidRPr="008A1047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058B7771" wp14:editId="60B57DBD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</w:p>
    <w:p w14:paraId="5BEA6E16" w14:textId="6B85EBAB" w:rsidR="00456887" w:rsidRPr="008A1047" w:rsidRDefault="00456887" w:rsidP="00456887">
      <w:pPr>
        <w:spacing w:after="0"/>
        <w:rPr>
          <w:rFonts w:cstheme="minorHAnsi"/>
          <w:b/>
        </w:rPr>
      </w:pPr>
    </w:p>
    <w:p w14:paraId="27837865" w14:textId="083F281F" w:rsidR="00456887" w:rsidRPr="008A1047" w:rsidRDefault="00456887" w:rsidP="00FD5FBB">
      <w:pPr>
        <w:spacing w:after="0" w:line="240" w:lineRule="auto"/>
        <w:jc w:val="right"/>
        <w:rPr>
          <w:rFonts w:cstheme="minorHAnsi"/>
        </w:rPr>
      </w:pPr>
    </w:p>
    <w:p w14:paraId="2124CCD6" w14:textId="44152DA2" w:rsidR="001F6970" w:rsidRPr="008A1047" w:rsidRDefault="001F6970" w:rsidP="00FD5FBB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399CD78" w14:textId="0D7CBA2B" w:rsidR="000C54AD" w:rsidRPr="002F5AFE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  <w:b/>
          <w:bCs/>
        </w:rPr>
      </w:pPr>
      <w:r w:rsidRPr="002F5AFE">
        <w:rPr>
          <w:rFonts w:cstheme="minorHAnsi"/>
          <w:b/>
          <w:bCs/>
        </w:rPr>
        <w:t>Media support:</w:t>
      </w:r>
    </w:p>
    <w:p w14:paraId="04FEC7F6" w14:textId="3D49CEA8" w:rsidR="00F13349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62BAE91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bookmarkStart w:id="0" w:name="_Hlk165532123"/>
      <w:r>
        <w:rPr>
          <w:rFonts w:cstheme="minorHAnsi"/>
        </w:rPr>
        <w:t>Jill Rick</w:t>
      </w:r>
    </w:p>
    <w:p w14:paraId="44D4BBC1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+1 262-337-0854</w:t>
      </w:r>
    </w:p>
    <w:p w14:paraId="3033B51A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hyperlink r:id="rId9" w:history="1">
        <w:r w:rsidRPr="00685302">
          <w:rPr>
            <w:rStyle w:val="Hyperlink"/>
            <w:rFonts w:cstheme="minorHAnsi"/>
          </w:rPr>
          <w:t>jill.rick@global.komatsu</w:t>
        </w:r>
      </w:hyperlink>
      <w:r>
        <w:rPr>
          <w:rFonts w:cstheme="minorHAnsi"/>
        </w:rPr>
        <w:t xml:space="preserve"> </w:t>
      </w:r>
      <w:bookmarkEnd w:id="0"/>
    </w:p>
    <w:p w14:paraId="1217BE90" w14:textId="76F58F78" w:rsidR="00815F57" w:rsidRDefault="00815F57" w:rsidP="009B49E7">
      <w:pPr>
        <w:pStyle w:val="Headline"/>
        <w:jc w:val="left"/>
        <w:rPr>
          <w:b w:val="0"/>
          <w:bCs/>
          <w:i/>
        </w:rPr>
      </w:pPr>
    </w:p>
    <w:p w14:paraId="445CFC27" w14:textId="77777777" w:rsidR="00B65689" w:rsidRPr="00B65689" w:rsidRDefault="00B65689" w:rsidP="00B65689">
      <w:pPr>
        <w:pStyle w:val="Headline"/>
        <w:jc w:val="left"/>
        <w:rPr>
          <w:b w:val="0"/>
          <w:bCs/>
          <w:iCs/>
        </w:rPr>
      </w:pPr>
    </w:p>
    <w:p w14:paraId="458DDB04" w14:textId="77777777" w:rsidR="0083238E" w:rsidRPr="005E1347" w:rsidRDefault="0083238E" w:rsidP="009B49E7">
      <w:pPr>
        <w:pStyle w:val="Headline"/>
        <w:jc w:val="left"/>
        <w:rPr>
          <w:b w:val="0"/>
          <w:bCs/>
          <w:i/>
        </w:rPr>
      </w:pPr>
    </w:p>
    <w:p w14:paraId="2786FECD" w14:textId="3054576E" w:rsidR="0083238E" w:rsidRPr="004363E3" w:rsidRDefault="00591A0F" w:rsidP="0083238E">
      <w:pPr>
        <w:pStyle w:val="Headline"/>
      </w:pPr>
      <w:r w:rsidRPr="00591A0F">
        <w:t>Komatsu introduces new WA700-</w:t>
      </w:r>
      <w:proofErr w:type="gramStart"/>
      <w:r w:rsidRPr="00591A0F">
        <w:t>8 wheel</w:t>
      </w:r>
      <w:proofErr w:type="gramEnd"/>
      <w:r w:rsidRPr="00591A0F">
        <w:t xml:space="preserve"> loader </w:t>
      </w:r>
    </w:p>
    <w:p w14:paraId="00E9CE20" w14:textId="04D2D4C6" w:rsidR="0083238E" w:rsidRPr="004363E3" w:rsidRDefault="008C5259" w:rsidP="0083238E">
      <w:pPr>
        <w:pStyle w:val="Subhead"/>
      </w:pPr>
      <w:proofErr w:type="gramStart"/>
      <w:r>
        <w:t>Machine offers</w:t>
      </w:r>
      <w:proofErr w:type="gramEnd"/>
      <w:r>
        <w:t xml:space="preserve"> e</w:t>
      </w:r>
      <w:r w:rsidR="00D64BCE" w:rsidRPr="00D64BCE">
        <w:t>nhanced power and efficiency for quarry operations</w:t>
      </w:r>
    </w:p>
    <w:p w14:paraId="24955853" w14:textId="77777777" w:rsidR="0083238E" w:rsidRPr="004363E3" w:rsidRDefault="0083238E" w:rsidP="0083238E">
      <w:pPr>
        <w:spacing w:after="0"/>
        <w:jc w:val="center"/>
        <w:rPr>
          <w:rFonts w:ascii="Arial" w:hAnsi="Arial" w:cs="Arial"/>
          <w:i/>
        </w:rPr>
      </w:pPr>
    </w:p>
    <w:p w14:paraId="26DB3090" w14:textId="24D7B939" w:rsidR="0007168F" w:rsidRPr="0007168F" w:rsidRDefault="00AC06ED" w:rsidP="0007168F">
      <w:pPr>
        <w:rPr>
          <w:rFonts w:ascii="Arial" w:hAnsi="Arial" w:cs="Arial"/>
        </w:rPr>
      </w:pPr>
      <w:r w:rsidRPr="19DE607D">
        <w:rPr>
          <w:rFonts w:ascii="Arial" w:hAnsi="Arial" w:cs="Arial"/>
          <w:b/>
          <w:bCs/>
        </w:rPr>
        <w:t>N</w:t>
      </w:r>
      <w:r w:rsidR="003802A4" w:rsidRPr="19DE607D">
        <w:rPr>
          <w:rFonts w:ascii="Arial" w:hAnsi="Arial" w:cs="Arial"/>
          <w:b/>
          <w:bCs/>
        </w:rPr>
        <w:t xml:space="preserve">ovember </w:t>
      </w:r>
      <w:r w:rsidR="00CA797E">
        <w:rPr>
          <w:rFonts w:ascii="Arial" w:hAnsi="Arial" w:cs="Arial"/>
          <w:b/>
          <w:bCs/>
        </w:rPr>
        <w:t>13</w:t>
      </w:r>
      <w:r w:rsidR="003802A4" w:rsidRPr="19DE607D">
        <w:rPr>
          <w:rFonts w:ascii="Arial" w:hAnsi="Arial" w:cs="Arial"/>
          <w:b/>
          <w:bCs/>
        </w:rPr>
        <w:t>, 2024</w:t>
      </w:r>
      <w:r w:rsidRPr="19DE607D">
        <w:rPr>
          <w:rFonts w:ascii="Arial" w:hAnsi="Arial" w:cs="Arial"/>
          <w:b/>
          <w:bCs/>
        </w:rPr>
        <w:t xml:space="preserve"> </w:t>
      </w:r>
      <w:r w:rsidR="0083238E" w:rsidRPr="19DE607D">
        <w:rPr>
          <w:rFonts w:ascii="Arial" w:hAnsi="Arial" w:cs="Arial"/>
        </w:rPr>
        <w:t xml:space="preserve">— </w:t>
      </w:r>
      <w:r w:rsidR="0007168F" w:rsidRPr="19DE607D">
        <w:rPr>
          <w:rFonts w:ascii="Arial" w:hAnsi="Arial" w:cs="Arial"/>
        </w:rPr>
        <w:t xml:space="preserve">Komatsu is proud to announce the new </w:t>
      </w:r>
      <w:hyperlink r:id="rId10" w:history="1">
        <w:r w:rsidR="0007168F" w:rsidRPr="00CA797E">
          <w:rPr>
            <w:rStyle w:val="Hyperlink"/>
            <w:rFonts w:ascii="Arial" w:hAnsi="Arial" w:cs="Arial"/>
          </w:rPr>
          <w:t>WA700-8</w:t>
        </w:r>
      </w:hyperlink>
      <w:r w:rsidR="0007168F" w:rsidRPr="19DE607D">
        <w:rPr>
          <w:rFonts w:ascii="Arial" w:hAnsi="Arial" w:cs="Arial"/>
        </w:rPr>
        <w:t xml:space="preserve">, a powerful and efficient addition to its range of wheel loaders designed for quarry operations and aggregate producers. This wheel loader is an ideal four-pass match with 70-ton trucks such as Komatsu’s new HD605-10 haul truck. </w:t>
      </w:r>
      <w:r w:rsidR="001869C9" w:rsidRPr="19DE607D">
        <w:rPr>
          <w:rFonts w:ascii="Arial" w:hAnsi="Arial" w:cs="Arial"/>
        </w:rPr>
        <w:t>The WA700-8</w:t>
      </w:r>
      <w:r w:rsidR="0007168F" w:rsidRPr="19DE607D">
        <w:rPr>
          <w:rFonts w:ascii="Arial" w:hAnsi="Arial" w:cs="Arial"/>
        </w:rPr>
        <w:t xml:space="preserve"> also offers substantial improvements in performance, efficiency and operator comfort compared to its predecessor, the WA700-3.</w:t>
      </w:r>
    </w:p>
    <w:p w14:paraId="41E2BE4F" w14:textId="674D0052" w:rsidR="0007168F" w:rsidRPr="0007168F" w:rsidRDefault="00122875" w:rsidP="0007168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1233E4" wp14:editId="066FBB37">
                <wp:simplePos x="0" y="0"/>
                <wp:positionH relativeFrom="column">
                  <wp:posOffset>2800350</wp:posOffset>
                </wp:positionH>
                <wp:positionV relativeFrom="paragraph">
                  <wp:posOffset>2022475</wp:posOffset>
                </wp:positionV>
                <wp:extent cx="2928620" cy="635"/>
                <wp:effectExtent l="0" t="0" r="0" b="0"/>
                <wp:wrapSquare wrapText="bothSides"/>
                <wp:docPr id="11591339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6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19AD09" w14:textId="40B3C1C1" w:rsidR="00122875" w:rsidRPr="00ED08C4" w:rsidRDefault="00122875" w:rsidP="00122875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The WA700-8 is Komatsu's newest addition to its lineup of wheel loaders for quarry and aggregate operations.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233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5pt;margin-top:159.25pt;width:230.6pt;height: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" stroked="f">
                <v:textbox style="mso-fit-shape-to-text:t" inset="0,0,0,0">
                  <w:txbxContent>
                    <w:p w14:paraId="0119AD09" w14:textId="40B3C1C1" w:rsidR="00122875" w:rsidRPr="00ED08C4" w:rsidRDefault="00122875" w:rsidP="00122875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The WA700-8 is Komatsu's newest addition to its lineup of wheel loaders for quarry and aggregate operations.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91871EF" wp14:editId="09DBA67B">
            <wp:simplePos x="0" y="0"/>
            <wp:positionH relativeFrom="margin">
              <wp:posOffset>2800350</wp:posOffset>
            </wp:positionH>
            <wp:positionV relativeFrom="paragraph">
              <wp:posOffset>13335</wp:posOffset>
            </wp:positionV>
            <wp:extent cx="2928620" cy="1951990"/>
            <wp:effectExtent l="0" t="0" r="5080" b="0"/>
            <wp:wrapSquare wrapText="bothSides"/>
            <wp:docPr id="803125209" name="Picture 1" descr="A yellow construction vehicle digging a dirt p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25209" name="Picture 1" descr="A yellow construction vehicle digging a dirt pi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68F" w:rsidRPr="0007168F">
        <w:rPr>
          <w:rFonts w:ascii="Arial" w:hAnsi="Arial" w:cs="Arial"/>
        </w:rPr>
        <w:t>Compared to the previous model, the WA700-8 delivers</w:t>
      </w:r>
      <w:r w:rsidR="0007168F">
        <w:rPr>
          <w:rFonts w:ascii="Arial" w:hAnsi="Arial" w:cs="Arial"/>
        </w:rPr>
        <w:t>:</w:t>
      </w:r>
    </w:p>
    <w:p w14:paraId="32ABA6CE" w14:textId="682C0C21" w:rsidR="0007168F" w:rsidRPr="007B2A2B" w:rsidRDefault="0007168F" w:rsidP="007B2A2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7B2A2B">
        <w:rPr>
          <w:rFonts w:ascii="Arial" w:hAnsi="Arial" w:cs="Arial"/>
        </w:rPr>
        <w:t>Up to 8% more gross power and 15% more torque, making it a robust choice for demanding work environments</w:t>
      </w:r>
    </w:p>
    <w:p w14:paraId="7E2AF8F6" w14:textId="45ECE99B" w:rsidR="0007168F" w:rsidRPr="007B2A2B" w:rsidRDefault="0007168F" w:rsidP="007B2A2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7B2A2B">
        <w:rPr>
          <w:rFonts w:ascii="Arial" w:hAnsi="Arial" w:cs="Arial"/>
        </w:rPr>
        <w:t>A 6% increase in lifting force and rated load, allowing operators to handle larger volumes of material with greater ease</w:t>
      </w:r>
    </w:p>
    <w:p w14:paraId="288BB67C" w14:textId="0B0A4ABB" w:rsidR="003802A4" w:rsidRPr="007B2A2B" w:rsidRDefault="0007168F" w:rsidP="007B2A2B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7B2A2B">
        <w:rPr>
          <w:rFonts w:ascii="Arial" w:hAnsi="Arial" w:cs="Arial"/>
        </w:rPr>
        <w:t>Up to 8% more fue</w:t>
      </w:r>
      <w:r w:rsidR="009E4233" w:rsidRPr="007B2A2B">
        <w:rPr>
          <w:rFonts w:ascii="Arial" w:hAnsi="Arial" w:cs="Arial"/>
        </w:rPr>
        <w:t>l efficiency</w:t>
      </w:r>
      <w:r w:rsidRPr="007B2A2B">
        <w:rPr>
          <w:rFonts w:ascii="Arial" w:hAnsi="Arial" w:cs="Arial"/>
        </w:rPr>
        <w:t>, helping reduce operating costs while maintaining high productivity</w:t>
      </w:r>
    </w:p>
    <w:p w14:paraId="3EC87E41" w14:textId="2AF5B0FB" w:rsidR="0007168F" w:rsidRPr="00B82C2E" w:rsidRDefault="0007168F" w:rsidP="00B82C2E">
      <w:pPr>
        <w:rPr>
          <w:rFonts w:ascii="Arial" w:hAnsi="Arial" w:cs="Arial"/>
        </w:rPr>
      </w:pPr>
    </w:p>
    <w:p w14:paraId="3147D1CA" w14:textId="6E2D31CC" w:rsidR="0007168F" w:rsidRPr="0007168F" w:rsidRDefault="0007168F" w:rsidP="0007168F">
      <w:pPr>
        <w:rPr>
          <w:rFonts w:ascii="Arial" w:hAnsi="Arial" w:cs="Arial"/>
        </w:rPr>
      </w:pPr>
      <w:r w:rsidRPr="0007168F">
        <w:rPr>
          <w:rFonts w:ascii="Arial" w:hAnsi="Arial" w:cs="Arial"/>
        </w:rPr>
        <w:t xml:space="preserve">The WA700-8 features a comfortable cabin with technology </w:t>
      </w:r>
      <w:r w:rsidR="007D72B0">
        <w:rPr>
          <w:rFonts w:ascii="Arial" w:hAnsi="Arial" w:cs="Arial"/>
        </w:rPr>
        <w:t>designed to</w:t>
      </w:r>
      <w:r w:rsidR="007D72B0" w:rsidRPr="0007168F">
        <w:rPr>
          <w:rFonts w:ascii="Arial" w:hAnsi="Arial" w:cs="Arial"/>
        </w:rPr>
        <w:t xml:space="preserve"> </w:t>
      </w:r>
      <w:r w:rsidRPr="0007168F">
        <w:rPr>
          <w:rFonts w:ascii="Arial" w:hAnsi="Arial" w:cs="Arial"/>
        </w:rPr>
        <w:t>help reduce operator fatigue on long shifts</w:t>
      </w:r>
      <w:r w:rsidR="00E44780">
        <w:rPr>
          <w:rFonts w:ascii="Arial" w:hAnsi="Arial" w:cs="Arial"/>
        </w:rPr>
        <w:t>, including</w:t>
      </w:r>
      <w:r w:rsidRPr="0007168F">
        <w:rPr>
          <w:rFonts w:ascii="Arial" w:hAnsi="Arial" w:cs="Arial"/>
        </w:rPr>
        <w:t xml:space="preserve"> a new advanced joystick steering system and electronic pilot control levers for precision and ease of operation. Automation features such as an automatic digging system, semi-automatic approach, and semi-auto dump systems simplify repetitive tasks, helping operators optimize load cycles. These systems are particularly beneficial for less experienced operators, helping to close skill</w:t>
      </w:r>
      <w:r w:rsidR="00AC6F9A">
        <w:rPr>
          <w:rFonts w:ascii="Arial" w:hAnsi="Arial" w:cs="Arial"/>
        </w:rPr>
        <w:t>s</w:t>
      </w:r>
      <w:r w:rsidRPr="0007168F">
        <w:rPr>
          <w:rFonts w:ascii="Arial" w:hAnsi="Arial" w:cs="Arial"/>
        </w:rPr>
        <w:t xml:space="preserve"> gaps and enhance overall operational efficiency.</w:t>
      </w:r>
    </w:p>
    <w:p w14:paraId="2B480FBF" w14:textId="4B1CDD42" w:rsidR="0007168F" w:rsidRPr="0007168F" w:rsidRDefault="0007168F" w:rsidP="0007168F">
      <w:pPr>
        <w:rPr>
          <w:rFonts w:ascii="Arial" w:hAnsi="Arial" w:cs="Arial"/>
        </w:rPr>
      </w:pPr>
      <w:r w:rsidRPr="0007168F">
        <w:rPr>
          <w:rFonts w:ascii="Arial" w:hAnsi="Arial" w:cs="Arial"/>
        </w:rPr>
        <w:t xml:space="preserve">On challenging terrain, the variable traction control system helps prevent tire slippage, prolonging tire life and improving safety in wet or slippery conditions. </w:t>
      </w:r>
      <w:r w:rsidR="006D034A">
        <w:rPr>
          <w:rFonts w:ascii="Arial" w:hAnsi="Arial" w:cs="Arial"/>
        </w:rPr>
        <w:t>The loader’s</w:t>
      </w:r>
      <w:r w:rsidR="006D034A" w:rsidRPr="0007168F">
        <w:rPr>
          <w:rFonts w:ascii="Arial" w:hAnsi="Arial" w:cs="Arial"/>
        </w:rPr>
        <w:t xml:space="preserve"> </w:t>
      </w:r>
      <w:r w:rsidRPr="0007168F">
        <w:rPr>
          <w:rFonts w:ascii="Arial" w:hAnsi="Arial" w:cs="Arial"/>
        </w:rPr>
        <w:t xml:space="preserve">modulated clutch system offers precise control for smooth transitions between forward and reverse, which is critical during truck-loading operations. An available </w:t>
      </w:r>
      <w:proofErr w:type="spellStart"/>
      <w:r w:rsidRPr="0007168F">
        <w:rPr>
          <w:rFonts w:ascii="Arial" w:hAnsi="Arial" w:cs="Arial"/>
        </w:rPr>
        <w:t>KomVision</w:t>
      </w:r>
      <w:proofErr w:type="spellEnd"/>
      <w:r w:rsidR="003E1B99">
        <w:rPr>
          <w:rFonts w:ascii="Arial" w:hAnsi="Arial" w:cs="Arial"/>
        </w:rPr>
        <w:t xml:space="preserve"> camera</w:t>
      </w:r>
      <w:r w:rsidRPr="0007168F">
        <w:rPr>
          <w:rFonts w:ascii="Arial" w:hAnsi="Arial" w:cs="Arial"/>
        </w:rPr>
        <w:t xml:space="preserve"> system provides operators with a comprehensive view of the machine’s surroundings, </w:t>
      </w:r>
      <w:r w:rsidR="00D81965">
        <w:rPr>
          <w:rFonts w:ascii="Arial" w:hAnsi="Arial" w:cs="Arial"/>
        </w:rPr>
        <w:t>and</w:t>
      </w:r>
      <w:r w:rsidR="004E00F0">
        <w:rPr>
          <w:rFonts w:ascii="Arial" w:hAnsi="Arial" w:cs="Arial"/>
        </w:rPr>
        <w:t xml:space="preserve"> </w:t>
      </w:r>
      <w:proofErr w:type="spellStart"/>
      <w:r w:rsidRPr="0007168F">
        <w:rPr>
          <w:rFonts w:ascii="Arial" w:hAnsi="Arial" w:cs="Arial"/>
        </w:rPr>
        <w:t>Komtrax</w:t>
      </w:r>
      <w:proofErr w:type="spellEnd"/>
      <w:r w:rsidRPr="0007168F">
        <w:rPr>
          <w:rFonts w:ascii="Arial" w:hAnsi="Arial" w:cs="Arial"/>
        </w:rPr>
        <w:t xml:space="preserve"> Plus offers remote monitoring and data-driven insights </w:t>
      </w:r>
      <w:r w:rsidR="006C0A38">
        <w:rPr>
          <w:rFonts w:ascii="Arial" w:hAnsi="Arial" w:cs="Arial"/>
        </w:rPr>
        <w:t xml:space="preserve">that can help </w:t>
      </w:r>
      <w:r w:rsidRPr="0007168F">
        <w:rPr>
          <w:rFonts w:ascii="Arial" w:hAnsi="Arial" w:cs="Arial"/>
        </w:rPr>
        <w:t>reduce unplanned downtime.</w:t>
      </w:r>
    </w:p>
    <w:p w14:paraId="238CE9FA" w14:textId="059AD20C" w:rsidR="0083238E" w:rsidRPr="004363E3" w:rsidRDefault="0007168F" w:rsidP="0007168F">
      <w:pPr>
        <w:rPr>
          <w:rFonts w:ascii="Arial" w:hAnsi="Arial" w:cs="Arial"/>
        </w:rPr>
      </w:pPr>
      <w:r w:rsidRPr="3BC0FDBE">
        <w:rPr>
          <w:rFonts w:ascii="Arial" w:hAnsi="Arial" w:cs="Arial"/>
        </w:rPr>
        <w:lastRenderedPageBreak/>
        <w:t xml:space="preserve">“The new WA700-8 can help </w:t>
      </w:r>
      <w:r w:rsidR="00D83AB7" w:rsidRPr="3BC0FDBE">
        <w:rPr>
          <w:rFonts w:ascii="Arial" w:hAnsi="Arial" w:cs="Arial"/>
        </w:rPr>
        <w:t xml:space="preserve">quarry </w:t>
      </w:r>
      <w:r w:rsidRPr="3BC0FDBE">
        <w:rPr>
          <w:rFonts w:ascii="Arial" w:hAnsi="Arial" w:cs="Arial"/>
        </w:rPr>
        <w:t xml:space="preserve">operations hit that sweet spot for 70-ton truck loading, making every </w:t>
      </w:r>
      <w:r w:rsidR="00B42A34" w:rsidRPr="3BC0FDBE">
        <w:rPr>
          <w:rFonts w:ascii="Arial" w:hAnsi="Arial" w:cs="Arial"/>
        </w:rPr>
        <w:t xml:space="preserve">pass </w:t>
      </w:r>
      <w:r w:rsidRPr="3BC0FDBE">
        <w:rPr>
          <w:rFonts w:ascii="Arial" w:hAnsi="Arial" w:cs="Arial"/>
        </w:rPr>
        <w:t>count,” sa</w:t>
      </w:r>
      <w:r w:rsidR="00075234" w:rsidRPr="3BC0FDBE">
        <w:rPr>
          <w:rFonts w:ascii="Arial" w:hAnsi="Arial" w:cs="Arial"/>
        </w:rPr>
        <w:t>id</w:t>
      </w:r>
      <w:r w:rsidRPr="3BC0FDBE">
        <w:rPr>
          <w:rFonts w:ascii="Arial" w:hAnsi="Arial" w:cs="Arial"/>
        </w:rPr>
        <w:t xml:space="preserve"> Sebastian Witkowski, Product Manager. “With a heavier operating weight, greater static tipping load and larger breakout force than the previous model, the WA700-8 is a productive and efficient wheel loader that is ideal for quarry operations.”</w:t>
      </w:r>
    </w:p>
    <w:p w14:paraId="6FF8EA0B" w14:textId="77777777" w:rsidR="0083238E" w:rsidRPr="004363E3" w:rsidRDefault="0083238E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B379A1D" w14:textId="77777777" w:rsidR="0083238E" w:rsidRPr="004363E3" w:rsidRDefault="0083238E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63E3">
        <w:rPr>
          <w:rFonts w:ascii="Arial" w:hAnsi="Arial" w:cs="Arial"/>
          <w:b/>
        </w:rPr>
        <w:t>About Komatsu</w:t>
      </w:r>
    </w:p>
    <w:p w14:paraId="01EFE05F" w14:textId="5E844E77" w:rsidR="0083238E" w:rsidRDefault="008E58D2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58D2">
        <w:rPr>
          <w:rFonts w:ascii="Arial" w:hAnsi="Arial" w:cs="Arial"/>
        </w:rPr>
        <w:t xml:space="preserve">Komatsu develops and supplies technologies, equipment and services for the construction, mining, forklift, industrial and forestry markets. For more than a century, the company has been creating value for its customers through manufacturing and </w:t>
      </w:r>
      <w:proofErr w:type="gramStart"/>
      <w:r w:rsidRPr="008E58D2">
        <w:rPr>
          <w:rFonts w:ascii="Arial" w:hAnsi="Arial" w:cs="Arial"/>
        </w:rPr>
        <w:t>technology</w:t>
      </w:r>
      <w:proofErr w:type="gramEnd"/>
      <w:r w:rsidRPr="008E58D2">
        <w:rPr>
          <w:rFonts w:ascii="Arial" w:hAnsi="Arial" w:cs="Arial"/>
        </w:rPr>
        <w:t xml:space="preserve"> innovation, partnering with others to empower a sustainable future where people, business and the planet thrive together. Front-line industries worldwide use Komatsu solutions to develop modern infrastructure, extract fundamental minerals, manage forests and create consumer products. The company's global service and distributor networks support customer</w:t>
      </w:r>
      <w:r>
        <w:rPr>
          <w:rFonts w:ascii="Arial" w:hAnsi="Arial" w:cs="Arial"/>
        </w:rPr>
        <w:t xml:space="preserve"> </w:t>
      </w:r>
      <w:r w:rsidRPr="008E58D2">
        <w:rPr>
          <w:rFonts w:ascii="Arial" w:hAnsi="Arial" w:cs="Arial"/>
        </w:rPr>
        <w:t xml:space="preserve">operations to help enhance safety and promote productivity while working to optimize performance. Learn more at </w:t>
      </w:r>
      <w:hyperlink r:id="rId12" w:tgtFrame="_blank" w:tooltip="http://www.komatsu.com/" w:history="1">
        <w:r w:rsidRPr="008E58D2">
          <w:rPr>
            <w:rStyle w:val="Hyperlink"/>
            <w:rFonts w:ascii="Arial" w:hAnsi="Arial" w:cs="Arial"/>
          </w:rPr>
          <w:t>www.komatsu.com</w:t>
        </w:r>
      </w:hyperlink>
      <w:r w:rsidRPr="008E58D2">
        <w:rPr>
          <w:rFonts w:ascii="Arial" w:hAnsi="Arial" w:cs="Arial"/>
        </w:rPr>
        <w:t>.</w:t>
      </w:r>
    </w:p>
    <w:p w14:paraId="717CF267" w14:textId="616C429E" w:rsidR="00484F74" w:rsidRPr="00885CA2" w:rsidRDefault="00484F74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448224" w14:textId="1C267A0C" w:rsidR="00484F74" w:rsidRPr="00885CA2" w:rsidRDefault="00484F74" w:rsidP="00484F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>#</w:t>
      </w:r>
    </w:p>
    <w:sectPr w:rsidR="00484F74" w:rsidRPr="00885CA2" w:rsidSect="004735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BEC"/>
    <w:multiLevelType w:val="hybridMultilevel"/>
    <w:tmpl w:val="B2B0B25A"/>
    <w:lvl w:ilvl="0" w:tplc="78FCC3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130B8"/>
    <w:multiLevelType w:val="hybridMultilevel"/>
    <w:tmpl w:val="5EF42750"/>
    <w:lvl w:ilvl="0" w:tplc="78FCC3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52905"/>
    <w:multiLevelType w:val="hybridMultilevel"/>
    <w:tmpl w:val="E326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04382"/>
    <w:multiLevelType w:val="hybridMultilevel"/>
    <w:tmpl w:val="4A06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0034"/>
    <w:multiLevelType w:val="hybridMultilevel"/>
    <w:tmpl w:val="EA30D2B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8736F"/>
    <w:multiLevelType w:val="hybridMultilevel"/>
    <w:tmpl w:val="81F2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80720">
    <w:abstractNumId w:val="9"/>
  </w:num>
  <w:num w:numId="2" w16cid:durableId="1127235424">
    <w:abstractNumId w:val="9"/>
  </w:num>
  <w:num w:numId="3" w16cid:durableId="1957178890">
    <w:abstractNumId w:val="4"/>
  </w:num>
  <w:num w:numId="4" w16cid:durableId="1767387430">
    <w:abstractNumId w:val="11"/>
  </w:num>
  <w:num w:numId="5" w16cid:durableId="1060707672">
    <w:abstractNumId w:val="8"/>
  </w:num>
  <w:num w:numId="6" w16cid:durableId="2095203480">
    <w:abstractNumId w:val="15"/>
  </w:num>
  <w:num w:numId="7" w16cid:durableId="1095327430">
    <w:abstractNumId w:val="18"/>
  </w:num>
  <w:num w:numId="8" w16cid:durableId="333269417">
    <w:abstractNumId w:val="23"/>
  </w:num>
  <w:num w:numId="9" w16cid:durableId="720056012">
    <w:abstractNumId w:val="12"/>
  </w:num>
  <w:num w:numId="10" w16cid:durableId="2028287904">
    <w:abstractNumId w:val="7"/>
  </w:num>
  <w:num w:numId="11" w16cid:durableId="665942501">
    <w:abstractNumId w:val="13"/>
  </w:num>
  <w:num w:numId="12" w16cid:durableId="495610610">
    <w:abstractNumId w:val="16"/>
  </w:num>
  <w:num w:numId="13" w16cid:durableId="306478701">
    <w:abstractNumId w:val="25"/>
  </w:num>
  <w:num w:numId="14" w16cid:durableId="1799108718">
    <w:abstractNumId w:val="20"/>
  </w:num>
  <w:num w:numId="15" w16cid:durableId="26377092">
    <w:abstractNumId w:val="1"/>
  </w:num>
  <w:num w:numId="16" w16cid:durableId="1177384240">
    <w:abstractNumId w:val="17"/>
  </w:num>
  <w:num w:numId="17" w16cid:durableId="88698671">
    <w:abstractNumId w:val="3"/>
  </w:num>
  <w:num w:numId="18" w16cid:durableId="1032612777">
    <w:abstractNumId w:val="19"/>
  </w:num>
  <w:num w:numId="19" w16cid:durableId="240137595">
    <w:abstractNumId w:val="22"/>
  </w:num>
  <w:num w:numId="20" w16cid:durableId="1594050983">
    <w:abstractNumId w:val="24"/>
  </w:num>
  <w:num w:numId="21" w16cid:durableId="1327594566">
    <w:abstractNumId w:val="0"/>
  </w:num>
  <w:num w:numId="22" w16cid:durableId="1806579196">
    <w:abstractNumId w:val="6"/>
  </w:num>
  <w:num w:numId="23" w16cid:durableId="1295674814">
    <w:abstractNumId w:val="14"/>
  </w:num>
  <w:num w:numId="24" w16cid:durableId="1357198800">
    <w:abstractNumId w:val="10"/>
  </w:num>
  <w:num w:numId="25" w16cid:durableId="704258299">
    <w:abstractNumId w:val="2"/>
  </w:num>
  <w:num w:numId="26" w16cid:durableId="1810123570">
    <w:abstractNumId w:val="5"/>
  </w:num>
  <w:num w:numId="27" w16cid:durableId="1998337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7"/>
    <w:rsid w:val="00002255"/>
    <w:rsid w:val="000207D8"/>
    <w:rsid w:val="00027E31"/>
    <w:rsid w:val="00037131"/>
    <w:rsid w:val="00044C28"/>
    <w:rsid w:val="00054D32"/>
    <w:rsid w:val="0005510A"/>
    <w:rsid w:val="000614AA"/>
    <w:rsid w:val="00065C1E"/>
    <w:rsid w:val="000700C7"/>
    <w:rsid w:val="00070BD9"/>
    <w:rsid w:val="0007168F"/>
    <w:rsid w:val="00071C5D"/>
    <w:rsid w:val="00075234"/>
    <w:rsid w:val="00077782"/>
    <w:rsid w:val="00081A30"/>
    <w:rsid w:val="0009570B"/>
    <w:rsid w:val="00097ACD"/>
    <w:rsid w:val="000A1B9A"/>
    <w:rsid w:val="000A5E43"/>
    <w:rsid w:val="000C54AD"/>
    <w:rsid w:val="000C5EA5"/>
    <w:rsid w:val="000D0984"/>
    <w:rsid w:val="000D0D29"/>
    <w:rsid w:val="000D1B5A"/>
    <w:rsid w:val="000D3C39"/>
    <w:rsid w:val="000E145A"/>
    <w:rsid w:val="000E6014"/>
    <w:rsid w:val="000E6ECF"/>
    <w:rsid w:val="000F2066"/>
    <w:rsid w:val="000F4904"/>
    <w:rsid w:val="0010163E"/>
    <w:rsid w:val="0010233D"/>
    <w:rsid w:val="00106379"/>
    <w:rsid w:val="00107C37"/>
    <w:rsid w:val="00115F6F"/>
    <w:rsid w:val="0012034B"/>
    <w:rsid w:val="0012199E"/>
    <w:rsid w:val="00122875"/>
    <w:rsid w:val="0012469A"/>
    <w:rsid w:val="00127AB7"/>
    <w:rsid w:val="001300AB"/>
    <w:rsid w:val="0013013A"/>
    <w:rsid w:val="0013682A"/>
    <w:rsid w:val="00152B84"/>
    <w:rsid w:val="00172515"/>
    <w:rsid w:val="00172F1D"/>
    <w:rsid w:val="00174ADC"/>
    <w:rsid w:val="001844FA"/>
    <w:rsid w:val="001869C9"/>
    <w:rsid w:val="00191994"/>
    <w:rsid w:val="00193708"/>
    <w:rsid w:val="0019568A"/>
    <w:rsid w:val="00197FC4"/>
    <w:rsid w:val="001B1DE3"/>
    <w:rsid w:val="001B4849"/>
    <w:rsid w:val="001C2781"/>
    <w:rsid w:val="001C2963"/>
    <w:rsid w:val="001C6AE4"/>
    <w:rsid w:val="001D2E6D"/>
    <w:rsid w:val="001E2D54"/>
    <w:rsid w:val="001E2DCF"/>
    <w:rsid w:val="001E6C1B"/>
    <w:rsid w:val="001F3BC7"/>
    <w:rsid w:val="001F6970"/>
    <w:rsid w:val="001F6EBA"/>
    <w:rsid w:val="002035BF"/>
    <w:rsid w:val="00212DF5"/>
    <w:rsid w:val="00216547"/>
    <w:rsid w:val="00224704"/>
    <w:rsid w:val="00231132"/>
    <w:rsid w:val="00236674"/>
    <w:rsid w:val="00237BBB"/>
    <w:rsid w:val="00245AD2"/>
    <w:rsid w:val="00246116"/>
    <w:rsid w:val="002531DA"/>
    <w:rsid w:val="00266796"/>
    <w:rsid w:val="00271CF8"/>
    <w:rsid w:val="0027294D"/>
    <w:rsid w:val="0028229A"/>
    <w:rsid w:val="00284FFC"/>
    <w:rsid w:val="00296B7A"/>
    <w:rsid w:val="002B39C8"/>
    <w:rsid w:val="002C7BB6"/>
    <w:rsid w:val="002D0D42"/>
    <w:rsid w:val="002D4AEC"/>
    <w:rsid w:val="002E1193"/>
    <w:rsid w:val="002E18B5"/>
    <w:rsid w:val="002E46C8"/>
    <w:rsid w:val="002F009D"/>
    <w:rsid w:val="002F2DFA"/>
    <w:rsid w:val="002F5AFE"/>
    <w:rsid w:val="002F7101"/>
    <w:rsid w:val="00302114"/>
    <w:rsid w:val="003033E5"/>
    <w:rsid w:val="00307DED"/>
    <w:rsid w:val="00310B51"/>
    <w:rsid w:val="00320F36"/>
    <w:rsid w:val="00331D51"/>
    <w:rsid w:val="003339A2"/>
    <w:rsid w:val="00333AA5"/>
    <w:rsid w:val="00334822"/>
    <w:rsid w:val="00350C73"/>
    <w:rsid w:val="00351051"/>
    <w:rsid w:val="00351EF9"/>
    <w:rsid w:val="00352040"/>
    <w:rsid w:val="003614D7"/>
    <w:rsid w:val="0037389D"/>
    <w:rsid w:val="003765A0"/>
    <w:rsid w:val="003802A4"/>
    <w:rsid w:val="00386120"/>
    <w:rsid w:val="00387C9F"/>
    <w:rsid w:val="00387F07"/>
    <w:rsid w:val="003A6441"/>
    <w:rsid w:val="003B4310"/>
    <w:rsid w:val="003B5D7F"/>
    <w:rsid w:val="003D4C01"/>
    <w:rsid w:val="003D50EB"/>
    <w:rsid w:val="003E0C3D"/>
    <w:rsid w:val="003E1B99"/>
    <w:rsid w:val="003E7CE7"/>
    <w:rsid w:val="00400435"/>
    <w:rsid w:val="00405F38"/>
    <w:rsid w:val="00434978"/>
    <w:rsid w:val="004363E3"/>
    <w:rsid w:val="00456887"/>
    <w:rsid w:val="004604B9"/>
    <w:rsid w:val="00465978"/>
    <w:rsid w:val="00466A97"/>
    <w:rsid w:val="004678C6"/>
    <w:rsid w:val="004721CA"/>
    <w:rsid w:val="00473589"/>
    <w:rsid w:val="00477664"/>
    <w:rsid w:val="00484F74"/>
    <w:rsid w:val="00485EF7"/>
    <w:rsid w:val="00494CCD"/>
    <w:rsid w:val="00497255"/>
    <w:rsid w:val="004A4AA8"/>
    <w:rsid w:val="004A634B"/>
    <w:rsid w:val="004B05BC"/>
    <w:rsid w:val="004C16D0"/>
    <w:rsid w:val="004C2652"/>
    <w:rsid w:val="004C5A79"/>
    <w:rsid w:val="004C7BDC"/>
    <w:rsid w:val="004C7FBD"/>
    <w:rsid w:val="004E00F0"/>
    <w:rsid w:val="004F071D"/>
    <w:rsid w:val="004F124F"/>
    <w:rsid w:val="004F181D"/>
    <w:rsid w:val="00501306"/>
    <w:rsid w:val="005047A5"/>
    <w:rsid w:val="00505D9B"/>
    <w:rsid w:val="0051070F"/>
    <w:rsid w:val="00510EEB"/>
    <w:rsid w:val="0051428E"/>
    <w:rsid w:val="005202A0"/>
    <w:rsid w:val="00523860"/>
    <w:rsid w:val="00536DB7"/>
    <w:rsid w:val="0054296F"/>
    <w:rsid w:val="0055505B"/>
    <w:rsid w:val="005622FA"/>
    <w:rsid w:val="00570B70"/>
    <w:rsid w:val="005737F0"/>
    <w:rsid w:val="00591A0F"/>
    <w:rsid w:val="005A1520"/>
    <w:rsid w:val="005A3CEE"/>
    <w:rsid w:val="005B5047"/>
    <w:rsid w:val="005C1C17"/>
    <w:rsid w:val="005C222B"/>
    <w:rsid w:val="005C2FA5"/>
    <w:rsid w:val="005C49BA"/>
    <w:rsid w:val="005C7546"/>
    <w:rsid w:val="005D12FA"/>
    <w:rsid w:val="005D276B"/>
    <w:rsid w:val="005D35E1"/>
    <w:rsid w:val="005E1347"/>
    <w:rsid w:val="005E3849"/>
    <w:rsid w:val="005E773E"/>
    <w:rsid w:val="005E7DC5"/>
    <w:rsid w:val="00600678"/>
    <w:rsid w:val="00605E2D"/>
    <w:rsid w:val="00607A32"/>
    <w:rsid w:val="006138A2"/>
    <w:rsid w:val="00617FD1"/>
    <w:rsid w:val="00644120"/>
    <w:rsid w:val="006478CD"/>
    <w:rsid w:val="00651096"/>
    <w:rsid w:val="00652ECF"/>
    <w:rsid w:val="00653318"/>
    <w:rsid w:val="0065340D"/>
    <w:rsid w:val="00653598"/>
    <w:rsid w:val="00663D93"/>
    <w:rsid w:val="006660C4"/>
    <w:rsid w:val="00686CC0"/>
    <w:rsid w:val="00690A46"/>
    <w:rsid w:val="006A3F56"/>
    <w:rsid w:val="006B1207"/>
    <w:rsid w:val="006B3F53"/>
    <w:rsid w:val="006C0A38"/>
    <w:rsid w:val="006D034A"/>
    <w:rsid w:val="006D3073"/>
    <w:rsid w:val="006F7923"/>
    <w:rsid w:val="006F7F6E"/>
    <w:rsid w:val="007053DA"/>
    <w:rsid w:val="00707E21"/>
    <w:rsid w:val="0071094A"/>
    <w:rsid w:val="007120E8"/>
    <w:rsid w:val="0071719C"/>
    <w:rsid w:val="0072092E"/>
    <w:rsid w:val="007263EC"/>
    <w:rsid w:val="007279FC"/>
    <w:rsid w:val="007314BF"/>
    <w:rsid w:val="00735684"/>
    <w:rsid w:val="00737DE3"/>
    <w:rsid w:val="00737E59"/>
    <w:rsid w:val="00740609"/>
    <w:rsid w:val="007441DC"/>
    <w:rsid w:val="00751737"/>
    <w:rsid w:val="0075237B"/>
    <w:rsid w:val="0075439B"/>
    <w:rsid w:val="00755A74"/>
    <w:rsid w:val="0075767D"/>
    <w:rsid w:val="00772BE2"/>
    <w:rsid w:val="00774C87"/>
    <w:rsid w:val="00776F90"/>
    <w:rsid w:val="007814E3"/>
    <w:rsid w:val="00781A68"/>
    <w:rsid w:val="007847E7"/>
    <w:rsid w:val="00785CE1"/>
    <w:rsid w:val="00793532"/>
    <w:rsid w:val="007953B2"/>
    <w:rsid w:val="007A5103"/>
    <w:rsid w:val="007A5777"/>
    <w:rsid w:val="007B2A2B"/>
    <w:rsid w:val="007B4E04"/>
    <w:rsid w:val="007B4E33"/>
    <w:rsid w:val="007C3E06"/>
    <w:rsid w:val="007D56D3"/>
    <w:rsid w:val="007D72B0"/>
    <w:rsid w:val="007F44D1"/>
    <w:rsid w:val="007F5CB9"/>
    <w:rsid w:val="00802663"/>
    <w:rsid w:val="00803DA8"/>
    <w:rsid w:val="008042A7"/>
    <w:rsid w:val="0080480D"/>
    <w:rsid w:val="00806089"/>
    <w:rsid w:val="00806D87"/>
    <w:rsid w:val="00815F57"/>
    <w:rsid w:val="00822635"/>
    <w:rsid w:val="00822B19"/>
    <w:rsid w:val="00823F24"/>
    <w:rsid w:val="0083016B"/>
    <w:rsid w:val="0083238E"/>
    <w:rsid w:val="00834D65"/>
    <w:rsid w:val="00841EE8"/>
    <w:rsid w:val="0085505E"/>
    <w:rsid w:val="008565FB"/>
    <w:rsid w:val="008717D5"/>
    <w:rsid w:val="0087407C"/>
    <w:rsid w:val="008751FD"/>
    <w:rsid w:val="0087616E"/>
    <w:rsid w:val="00876207"/>
    <w:rsid w:val="00885CA2"/>
    <w:rsid w:val="00891DE8"/>
    <w:rsid w:val="00892B45"/>
    <w:rsid w:val="0089378C"/>
    <w:rsid w:val="00894941"/>
    <w:rsid w:val="008A1047"/>
    <w:rsid w:val="008A2347"/>
    <w:rsid w:val="008A3F75"/>
    <w:rsid w:val="008B01F3"/>
    <w:rsid w:val="008B5A06"/>
    <w:rsid w:val="008C5259"/>
    <w:rsid w:val="008C5768"/>
    <w:rsid w:val="008D36BA"/>
    <w:rsid w:val="008D73DA"/>
    <w:rsid w:val="008E12B5"/>
    <w:rsid w:val="008E58D2"/>
    <w:rsid w:val="00911DD4"/>
    <w:rsid w:val="00920105"/>
    <w:rsid w:val="009416A3"/>
    <w:rsid w:val="009430BB"/>
    <w:rsid w:val="00952664"/>
    <w:rsid w:val="00960574"/>
    <w:rsid w:val="009678D6"/>
    <w:rsid w:val="00972D15"/>
    <w:rsid w:val="00974B0E"/>
    <w:rsid w:val="009814D7"/>
    <w:rsid w:val="009851EE"/>
    <w:rsid w:val="009971BD"/>
    <w:rsid w:val="0099737C"/>
    <w:rsid w:val="009B409C"/>
    <w:rsid w:val="009B49E7"/>
    <w:rsid w:val="009E4233"/>
    <w:rsid w:val="009F56AB"/>
    <w:rsid w:val="00A337BF"/>
    <w:rsid w:val="00A40BB4"/>
    <w:rsid w:val="00A41A10"/>
    <w:rsid w:val="00A46E45"/>
    <w:rsid w:val="00A626F5"/>
    <w:rsid w:val="00A67176"/>
    <w:rsid w:val="00A7303D"/>
    <w:rsid w:val="00A7707A"/>
    <w:rsid w:val="00A90785"/>
    <w:rsid w:val="00AA1393"/>
    <w:rsid w:val="00AC06ED"/>
    <w:rsid w:val="00AC6F9A"/>
    <w:rsid w:val="00AD0DD4"/>
    <w:rsid w:val="00AD1B74"/>
    <w:rsid w:val="00AD3918"/>
    <w:rsid w:val="00AD6945"/>
    <w:rsid w:val="00AE064E"/>
    <w:rsid w:val="00AE283B"/>
    <w:rsid w:val="00AE6527"/>
    <w:rsid w:val="00AF205D"/>
    <w:rsid w:val="00AF6187"/>
    <w:rsid w:val="00B00C7A"/>
    <w:rsid w:val="00B0696C"/>
    <w:rsid w:val="00B1243D"/>
    <w:rsid w:val="00B20D9A"/>
    <w:rsid w:val="00B24420"/>
    <w:rsid w:val="00B42A34"/>
    <w:rsid w:val="00B44DBF"/>
    <w:rsid w:val="00B45104"/>
    <w:rsid w:val="00B60C39"/>
    <w:rsid w:val="00B65689"/>
    <w:rsid w:val="00B738C7"/>
    <w:rsid w:val="00B7703A"/>
    <w:rsid w:val="00B77447"/>
    <w:rsid w:val="00B8038D"/>
    <w:rsid w:val="00B82C2E"/>
    <w:rsid w:val="00B83C30"/>
    <w:rsid w:val="00BA18BA"/>
    <w:rsid w:val="00BA30B3"/>
    <w:rsid w:val="00BB2020"/>
    <w:rsid w:val="00BB4456"/>
    <w:rsid w:val="00BB74D0"/>
    <w:rsid w:val="00BD307A"/>
    <w:rsid w:val="00BD4655"/>
    <w:rsid w:val="00BD5E07"/>
    <w:rsid w:val="00BD66C2"/>
    <w:rsid w:val="00BD75F3"/>
    <w:rsid w:val="00BE093C"/>
    <w:rsid w:val="00BF1BF3"/>
    <w:rsid w:val="00BF53C2"/>
    <w:rsid w:val="00C047C7"/>
    <w:rsid w:val="00C23BF7"/>
    <w:rsid w:val="00C24597"/>
    <w:rsid w:val="00C261B8"/>
    <w:rsid w:val="00C3063B"/>
    <w:rsid w:val="00C33454"/>
    <w:rsid w:val="00C40D48"/>
    <w:rsid w:val="00C433FC"/>
    <w:rsid w:val="00C5699B"/>
    <w:rsid w:val="00C65AC7"/>
    <w:rsid w:val="00C65CB8"/>
    <w:rsid w:val="00C73ADC"/>
    <w:rsid w:val="00C73C81"/>
    <w:rsid w:val="00C81563"/>
    <w:rsid w:val="00C91C71"/>
    <w:rsid w:val="00CA2934"/>
    <w:rsid w:val="00CA3CF8"/>
    <w:rsid w:val="00CA797E"/>
    <w:rsid w:val="00CA7A65"/>
    <w:rsid w:val="00CB3EF2"/>
    <w:rsid w:val="00CB593F"/>
    <w:rsid w:val="00CB6AB7"/>
    <w:rsid w:val="00CC13C3"/>
    <w:rsid w:val="00CC3311"/>
    <w:rsid w:val="00CC4A9D"/>
    <w:rsid w:val="00CC615A"/>
    <w:rsid w:val="00CE303C"/>
    <w:rsid w:val="00CE63B8"/>
    <w:rsid w:val="00CE6B95"/>
    <w:rsid w:val="00CF3B58"/>
    <w:rsid w:val="00D01202"/>
    <w:rsid w:val="00D036DF"/>
    <w:rsid w:val="00D07304"/>
    <w:rsid w:val="00D10741"/>
    <w:rsid w:val="00D12260"/>
    <w:rsid w:val="00D217AF"/>
    <w:rsid w:val="00D308E4"/>
    <w:rsid w:val="00D4580A"/>
    <w:rsid w:val="00D47AE5"/>
    <w:rsid w:val="00D50CA3"/>
    <w:rsid w:val="00D62262"/>
    <w:rsid w:val="00D63B92"/>
    <w:rsid w:val="00D64BCE"/>
    <w:rsid w:val="00D81965"/>
    <w:rsid w:val="00D83AB7"/>
    <w:rsid w:val="00D84A20"/>
    <w:rsid w:val="00D91E90"/>
    <w:rsid w:val="00D96A61"/>
    <w:rsid w:val="00DA1315"/>
    <w:rsid w:val="00DA5673"/>
    <w:rsid w:val="00DA6708"/>
    <w:rsid w:val="00DB226F"/>
    <w:rsid w:val="00DB409E"/>
    <w:rsid w:val="00DB767A"/>
    <w:rsid w:val="00DC118B"/>
    <w:rsid w:val="00DC3E82"/>
    <w:rsid w:val="00E038A0"/>
    <w:rsid w:val="00E0475E"/>
    <w:rsid w:val="00E21597"/>
    <w:rsid w:val="00E242AF"/>
    <w:rsid w:val="00E2728A"/>
    <w:rsid w:val="00E43E82"/>
    <w:rsid w:val="00E44780"/>
    <w:rsid w:val="00E62242"/>
    <w:rsid w:val="00E64259"/>
    <w:rsid w:val="00E645FA"/>
    <w:rsid w:val="00E71A93"/>
    <w:rsid w:val="00E7567A"/>
    <w:rsid w:val="00E8492F"/>
    <w:rsid w:val="00E93D16"/>
    <w:rsid w:val="00EA0B06"/>
    <w:rsid w:val="00EA6B8C"/>
    <w:rsid w:val="00EA6EE1"/>
    <w:rsid w:val="00EB1FC0"/>
    <w:rsid w:val="00EB4490"/>
    <w:rsid w:val="00EB4FBB"/>
    <w:rsid w:val="00EB5AA2"/>
    <w:rsid w:val="00EC03C4"/>
    <w:rsid w:val="00EC244E"/>
    <w:rsid w:val="00EC2645"/>
    <w:rsid w:val="00EC47BC"/>
    <w:rsid w:val="00ED216C"/>
    <w:rsid w:val="00ED71D8"/>
    <w:rsid w:val="00EE335F"/>
    <w:rsid w:val="00EE4483"/>
    <w:rsid w:val="00EF011D"/>
    <w:rsid w:val="00EF4A12"/>
    <w:rsid w:val="00EF5D3C"/>
    <w:rsid w:val="00F13349"/>
    <w:rsid w:val="00F13545"/>
    <w:rsid w:val="00F13679"/>
    <w:rsid w:val="00F1776C"/>
    <w:rsid w:val="00F20517"/>
    <w:rsid w:val="00F20D20"/>
    <w:rsid w:val="00F21121"/>
    <w:rsid w:val="00F30098"/>
    <w:rsid w:val="00F32C50"/>
    <w:rsid w:val="00F32E39"/>
    <w:rsid w:val="00F41548"/>
    <w:rsid w:val="00F43C77"/>
    <w:rsid w:val="00F471BE"/>
    <w:rsid w:val="00F5660D"/>
    <w:rsid w:val="00F56FC5"/>
    <w:rsid w:val="00F57A00"/>
    <w:rsid w:val="00F6742A"/>
    <w:rsid w:val="00F722AE"/>
    <w:rsid w:val="00F7608A"/>
    <w:rsid w:val="00F76BF1"/>
    <w:rsid w:val="00F966FC"/>
    <w:rsid w:val="00FB535E"/>
    <w:rsid w:val="00FC28B3"/>
    <w:rsid w:val="00FD0D33"/>
    <w:rsid w:val="00FD1C8E"/>
    <w:rsid w:val="00FD5FBB"/>
    <w:rsid w:val="00FE048E"/>
    <w:rsid w:val="00FE625D"/>
    <w:rsid w:val="00FE7990"/>
    <w:rsid w:val="00FE7A56"/>
    <w:rsid w:val="00FF5C2E"/>
    <w:rsid w:val="1774E71C"/>
    <w:rsid w:val="19DE607D"/>
    <w:rsid w:val="399A73AA"/>
    <w:rsid w:val="3BC0FDBE"/>
    <w:rsid w:val="4CC1D856"/>
    <w:rsid w:val="6B91D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D84E"/>
  <w15:chartTrackingRefBased/>
  <w15:docId w15:val="{80C9FFDA-2295-44BC-9CF0-26083C76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89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rFonts w:eastAsiaTheme="minorEastAsia"/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customStyle="1" w:styleId="cf01">
    <w:name w:val="cf01"/>
    <w:basedOn w:val="DefaultParagraphFont"/>
    <w:rsid w:val="00815F5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622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matsu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s://www.komatsu.com/en/products/wheel-loaders/surface-mining-wheel-loaders/wa700-8/?utm_source=Komatsu&amp;utm_medium=PressRelease&amp;utm_campaign=Construction&amp;utm_content=WA700-8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ill.rick@global.komat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A4C55C-BF9F-47A2-B21E-2F79D7D62B19}">
  <we:reference id="fc790427-0bbd-4743-af73-3829852d1f35" version="1.0.0.0" store="EXCatalog" storeType="EXCatalog"/>
  <we:alternateReferences>
    <we:reference id="WA20000590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0A3F3AF9AD14DB01294CB417B70C3" ma:contentTypeVersion="11" ma:contentTypeDescription="Create a new document." ma:contentTypeScope="" ma:versionID="d99cad2b8298aadbe430a2c3aa80b356">
  <xsd:schema xmlns:xsd="http://www.w3.org/2001/XMLSchema" xmlns:xs="http://www.w3.org/2001/XMLSchema" xmlns:p="http://schemas.microsoft.com/office/2006/metadata/properties" xmlns:ns2="41e272bb-4e93-4789-b4d4-55b7e053c02c" xmlns:ns3="bdd4895f-76c5-4e71-9d19-16f66b36d43e" targetNamespace="http://schemas.microsoft.com/office/2006/metadata/properties" ma:root="true" ma:fieldsID="2debfbea8b91f0a279fb90ce0133e1c9" ns2:_="" ns3:_="">
    <xsd:import namespace="41e272bb-4e93-4789-b4d4-55b7e053c02c"/>
    <xsd:import namespace="bdd4895f-76c5-4e71-9d19-16f66b36d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72bb-4e93-4789-b4d4-55b7e053c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895f-76c5-4e71-9d19-16f66b36d4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505455-7bf1-4cea-a4b7-361084a13bd0}" ma:internalName="TaxCatchAll" ma:showField="CatchAllData" ma:web="bdd4895f-76c5-4e71-9d19-16f66b36d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4895f-76c5-4e71-9d19-16f66b36d43e" xsi:nil="true"/>
    <lcf76f155ced4ddcb4097134ff3c332f xmlns="41e272bb-4e93-4789-b4d4-55b7e053c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6D86F-1085-46E4-899D-1439762E2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272bb-4e93-4789-b4d4-55b7e053c02c"/>
    <ds:schemaRef ds:uri="bdd4895f-76c5-4e71-9d19-16f66b36d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bdd4895f-76c5-4e71-9d19-16f66b36d43e"/>
    <ds:schemaRef ds:uri="41e272bb-4e93-4789-b4d4-55b7e053c02c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2767</Characters>
  <Application>Microsoft Office Word</Application>
  <DocSecurity>0</DocSecurity>
  <Lines>60</Lines>
  <Paragraphs>17</Paragraphs>
  <ScaleCrop>false</ScaleCrop>
  <Company>Komatsu Ameica Corp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Rick</dc:creator>
  <cp:keywords/>
  <dc:description/>
  <cp:lastModifiedBy>Kenzie Patberg</cp:lastModifiedBy>
  <cp:revision>5</cp:revision>
  <cp:lastPrinted>2023-02-08T23:38:00Z</cp:lastPrinted>
  <dcterms:created xsi:type="dcterms:W3CDTF">2024-11-05T21:45:00Z</dcterms:created>
  <dcterms:modified xsi:type="dcterms:W3CDTF">2026-02-09T21:17:00Z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0x010100B570A3F3AF9AD14DB01294CB417B70C3</vt:lpwstr>
  </property>
  <property fmtid="{D5CDD505-2E9C-101B-9397-08002B2CF9AE}" pid="3" name="MediaServiceImageTags">
    <vt:lpwstr/>
  </property>
</Properties>
</file>